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SCHOLARSHIPS FOR SCHOOL COUNSELORS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NEACAC is proud to offer a number of scholarships for school counselors to attend the Annual Meeting &amp; Conference so they can participate in this wonderful professional development opportunity. To access the application and apply for a scholarship, please visit the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AMC Scholarship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 page</w:t>
      </w:r>
      <w:r w:rsidDel="00000000" w:rsidR="00000000" w:rsidRPr="00000000">
        <w:rPr>
          <w:sz w:val="24"/>
          <w:szCs w:val="24"/>
          <w:rtl w:val="0"/>
        </w:rPr>
        <w:t xml:space="preserve">.  If you have any questions, please contact Diane Soboski, Annual Meeting &amp; Conference Chair, </w:t>
      </w:r>
      <w:hyperlink r:id="rId5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dsoboski@holycross.edu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dsoboski@holycross.edu" TargetMode="External"/></Relationships>
</file>